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B0E14" w14:textId="77777777" w:rsidR="00A11F72" w:rsidRPr="00A34CCE" w:rsidRDefault="00A11F72" w:rsidP="00A11F72">
      <w:pPr>
        <w:spacing w:line="276" w:lineRule="auto"/>
        <w:rPr>
          <w:rFonts w:ascii="Segoe UI" w:hAnsi="Segoe UI" w:cs="Segoe UI"/>
          <w:b/>
          <w:bCs/>
          <w:color w:val="002060"/>
          <w:sz w:val="32"/>
          <w:szCs w:val="32"/>
        </w:rPr>
      </w:pPr>
      <w:r w:rsidRPr="00A34CCE">
        <w:rPr>
          <w:rFonts w:ascii="Segoe UI" w:hAnsi="Segoe UI" w:cs="Segoe UI"/>
          <w:b/>
          <w:bCs/>
          <w:i/>
          <w:iCs/>
          <w:color w:val="002060"/>
          <w:sz w:val="32"/>
          <w:szCs w:val="32"/>
        </w:rPr>
        <w:t>Science of Synthesis</w:t>
      </w:r>
      <w:r w:rsidRPr="00A34CCE">
        <w:rPr>
          <w:rFonts w:ascii="Segoe UI" w:hAnsi="Segoe UI" w:cs="Segoe UI"/>
          <w:b/>
          <w:bCs/>
          <w:color w:val="002060"/>
          <w:sz w:val="32"/>
          <w:szCs w:val="32"/>
        </w:rPr>
        <w:t xml:space="preserve"> Abstracts: Guidelines</w:t>
      </w:r>
      <w:r>
        <w:rPr>
          <w:rFonts w:ascii="Segoe UI" w:hAnsi="Segoe UI" w:cs="Segoe UI"/>
          <w:b/>
          <w:bCs/>
          <w:color w:val="002060"/>
          <w:sz w:val="32"/>
          <w:szCs w:val="32"/>
        </w:rPr>
        <w:t xml:space="preserve"> and Templates</w:t>
      </w:r>
    </w:p>
    <w:p w14:paraId="6C87FBC4" w14:textId="77777777" w:rsidR="00A11F72" w:rsidRPr="00E21B4F" w:rsidRDefault="00A11F72" w:rsidP="00A11F72">
      <w:pPr>
        <w:spacing w:line="276" w:lineRule="auto"/>
        <w:rPr>
          <w:rFonts w:ascii="Segoe UI" w:hAnsi="Segoe UI" w:cs="Segoe UI"/>
          <w:color w:val="002060"/>
          <w:szCs w:val="24"/>
        </w:rPr>
      </w:pPr>
    </w:p>
    <w:p w14:paraId="37D27AA0" w14:textId="77777777" w:rsidR="00A11F72" w:rsidRPr="00E21B4F" w:rsidRDefault="00A11F72" w:rsidP="00A11F72">
      <w:pPr>
        <w:spacing w:line="276" w:lineRule="auto"/>
        <w:rPr>
          <w:rFonts w:ascii="Segoe UI" w:hAnsi="Segoe UI" w:cs="Segoe UI"/>
          <w:color w:val="002060"/>
          <w:szCs w:val="24"/>
        </w:rPr>
      </w:pPr>
      <w:r w:rsidRPr="00E21B4F">
        <w:rPr>
          <w:rFonts w:ascii="Segoe UI" w:hAnsi="Segoe UI" w:cs="Segoe UI"/>
          <w:color w:val="002060"/>
          <w:szCs w:val="24"/>
        </w:rPr>
        <w:t>Please prepare an abstract for your chapter following the templates/examples provided below.</w:t>
      </w:r>
    </w:p>
    <w:p w14:paraId="20B71FAC" w14:textId="77777777" w:rsidR="00A11F72" w:rsidRPr="00E21B4F" w:rsidRDefault="00A11F72" w:rsidP="00A11F72">
      <w:pPr>
        <w:spacing w:line="276" w:lineRule="auto"/>
        <w:rPr>
          <w:rFonts w:ascii="Segoe UI" w:hAnsi="Segoe UI" w:cs="Segoe UI"/>
          <w:color w:val="002060"/>
          <w:szCs w:val="24"/>
        </w:rPr>
      </w:pPr>
      <w:r w:rsidRPr="00E21B4F">
        <w:rPr>
          <w:rFonts w:ascii="Segoe UI" w:hAnsi="Segoe UI" w:cs="Segoe UI"/>
          <w:color w:val="002060"/>
          <w:szCs w:val="24"/>
        </w:rPr>
        <w:t>The abstract should contain:</w:t>
      </w:r>
    </w:p>
    <w:p w14:paraId="2C46D144" w14:textId="77777777" w:rsidR="00A11F72" w:rsidRPr="00E21B4F" w:rsidRDefault="00A11F72" w:rsidP="00A11F72">
      <w:pPr>
        <w:pStyle w:val="Listenabsatz"/>
        <w:numPr>
          <w:ilvl w:val="0"/>
          <w:numId w:val="2"/>
        </w:numPr>
        <w:spacing w:line="276" w:lineRule="auto"/>
        <w:rPr>
          <w:rFonts w:ascii="Segoe UI" w:hAnsi="Segoe UI" w:cs="Segoe UI"/>
          <w:color w:val="002060"/>
          <w:szCs w:val="24"/>
        </w:rPr>
      </w:pPr>
      <w:r w:rsidRPr="00E21B4F">
        <w:rPr>
          <w:rFonts w:ascii="Segoe UI" w:hAnsi="Segoe UI" w:cs="Segoe UI"/>
          <w:color w:val="002060"/>
          <w:szCs w:val="24"/>
        </w:rPr>
        <w:t>a paragraph of text</w:t>
      </w:r>
    </w:p>
    <w:p w14:paraId="33D6F7FE" w14:textId="77777777" w:rsidR="00A11F72" w:rsidRPr="00E21B4F" w:rsidRDefault="00A11F72" w:rsidP="00A11F72">
      <w:pPr>
        <w:pStyle w:val="Listenabsatz"/>
        <w:numPr>
          <w:ilvl w:val="0"/>
          <w:numId w:val="2"/>
        </w:numPr>
        <w:spacing w:line="276" w:lineRule="auto"/>
        <w:rPr>
          <w:rFonts w:ascii="Segoe UI" w:hAnsi="Segoe UI" w:cs="Segoe UI"/>
          <w:color w:val="002060"/>
          <w:szCs w:val="24"/>
        </w:rPr>
      </w:pPr>
      <w:r w:rsidRPr="00E21B4F">
        <w:rPr>
          <w:rFonts w:ascii="Segoe UI" w:hAnsi="Segoe UI" w:cs="Segoe UI"/>
          <w:color w:val="002060"/>
          <w:szCs w:val="24"/>
        </w:rPr>
        <w:t>a graphic to accurately represent the contents (in a general sense, or specific examples)</w:t>
      </w:r>
    </w:p>
    <w:p w14:paraId="58F4A064" w14:textId="77777777" w:rsidR="00A11F72" w:rsidRPr="00CF3830" w:rsidRDefault="00A11F72" w:rsidP="00A11F72">
      <w:pPr>
        <w:pStyle w:val="Listenabsatz"/>
        <w:numPr>
          <w:ilvl w:val="0"/>
          <w:numId w:val="2"/>
        </w:numPr>
        <w:spacing w:line="276" w:lineRule="auto"/>
        <w:rPr>
          <w:rFonts w:ascii="Segoe UI" w:hAnsi="Segoe UI" w:cs="Segoe UI"/>
          <w:color w:val="002060"/>
          <w:szCs w:val="24"/>
        </w:rPr>
      </w:pPr>
      <w:r w:rsidRPr="00E21B4F">
        <w:rPr>
          <w:rFonts w:ascii="Segoe UI" w:hAnsi="Segoe UI" w:cs="Segoe UI"/>
          <w:color w:val="002060"/>
          <w:szCs w:val="24"/>
        </w:rPr>
        <w:t>a list of keywords (6-20 is typical)</w:t>
      </w:r>
    </w:p>
    <w:p w14:paraId="3BBA035B" w14:textId="77777777" w:rsidR="00A11F72" w:rsidRPr="00E21B4F" w:rsidRDefault="00A11F72" w:rsidP="00A11F72">
      <w:pPr>
        <w:spacing w:line="276" w:lineRule="auto"/>
        <w:rPr>
          <w:rFonts w:ascii="Segoe UI" w:hAnsi="Segoe UI" w:cs="Segoe UI"/>
          <w:color w:val="002060"/>
          <w:szCs w:val="24"/>
        </w:rPr>
      </w:pPr>
      <w:r w:rsidRPr="00E21B4F">
        <w:rPr>
          <w:rFonts w:ascii="Segoe UI" w:hAnsi="Segoe UI" w:cs="Segoe UI"/>
          <w:color w:val="002060"/>
          <w:szCs w:val="24"/>
        </w:rPr>
        <w:t>Please bear in mind that the abstract serves as the primary entry point to your contribution in the online environment. It will appear in search results and hit lists and may also be used to promote the chapter through social media and other marketing channels. We therefore encourage you to make the abstract informative, engaging, and visually appealing.</w:t>
      </w:r>
    </w:p>
    <w:p w14:paraId="6A1F8A88" w14:textId="77777777" w:rsidR="00A11F72" w:rsidRDefault="00A11F72" w:rsidP="00A11F72">
      <w:pPr>
        <w:spacing w:line="276" w:lineRule="auto"/>
        <w:rPr>
          <w:rFonts w:ascii="Segoe UI" w:hAnsi="Segoe UI" w:cs="Segoe UI"/>
          <w:color w:val="002060"/>
          <w:szCs w:val="24"/>
        </w:rPr>
      </w:pPr>
      <w:r w:rsidRPr="00E21B4F">
        <w:rPr>
          <w:rFonts w:ascii="Segoe UI" w:hAnsi="Segoe UI" w:cs="Segoe UI"/>
          <w:color w:val="002060"/>
          <w:szCs w:val="24"/>
        </w:rPr>
        <w:t xml:space="preserve">For updates to previous </w:t>
      </w:r>
      <w:r w:rsidRPr="00E21B4F">
        <w:rPr>
          <w:rFonts w:ascii="Segoe UI" w:hAnsi="Segoe UI" w:cs="Segoe UI"/>
          <w:i/>
          <w:iCs/>
          <w:color w:val="002060"/>
          <w:szCs w:val="24"/>
        </w:rPr>
        <w:t>Science of Synthesis</w:t>
      </w:r>
      <w:r w:rsidRPr="00E21B4F">
        <w:rPr>
          <w:rFonts w:ascii="Segoe UI" w:hAnsi="Segoe UI" w:cs="Segoe UI"/>
          <w:color w:val="002060"/>
          <w:szCs w:val="24"/>
        </w:rPr>
        <w:t xml:space="preserve"> contributions, consider indicating the literature period covered by the update.</w:t>
      </w:r>
    </w:p>
    <w:p w14:paraId="57126064" w14:textId="77777777" w:rsidR="00A11F72" w:rsidRPr="00E21B4F" w:rsidRDefault="00A11F72" w:rsidP="00A11F72">
      <w:pPr>
        <w:spacing w:line="276" w:lineRule="auto"/>
        <w:rPr>
          <w:rFonts w:ascii="Segoe UI" w:hAnsi="Segoe UI" w:cs="Segoe UI"/>
          <w:color w:val="002060"/>
          <w:szCs w:val="24"/>
        </w:rPr>
      </w:pPr>
      <w:r w:rsidRPr="00233453">
        <w:rPr>
          <w:rFonts w:ascii="Segoe UI" w:hAnsi="Segoe UI" w:cs="Segoe UI"/>
          <w:color w:val="002060"/>
          <w:szCs w:val="24"/>
        </w:rPr>
        <w:t>Note that the article title and author list for the abstract will be extracted from the article manuscript itself and therefore do not need to be included in the submitted abstract.</w:t>
      </w:r>
    </w:p>
    <w:p w14:paraId="7708C620" w14:textId="77777777" w:rsidR="00A11F72" w:rsidRPr="00E21B4F" w:rsidRDefault="00A11F72" w:rsidP="00A11F72">
      <w:pPr>
        <w:spacing w:line="276" w:lineRule="auto"/>
        <w:rPr>
          <w:rFonts w:ascii="Segoe UI" w:hAnsi="Segoe UI" w:cs="Segoe UI"/>
          <w:b/>
          <w:bCs/>
          <w:color w:val="002060"/>
          <w:szCs w:val="24"/>
        </w:rPr>
      </w:pPr>
      <w:r w:rsidRPr="00E21B4F">
        <w:rPr>
          <w:rFonts w:ascii="Segoe UI" w:hAnsi="Segoe UI" w:cs="Segoe UI"/>
          <w:b/>
          <w:bCs/>
          <w:color w:val="002060"/>
          <w:szCs w:val="24"/>
        </w:rPr>
        <w:t>Graphic:</w:t>
      </w:r>
    </w:p>
    <w:p w14:paraId="26A5A5C0" w14:textId="77777777" w:rsidR="00A11F72" w:rsidRPr="00E21B4F" w:rsidRDefault="00A11F72" w:rsidP="00A11F72">
      <w:pPr>
        <w:pStyle w:val="Listenabsatz"/>
        <w:numPr>
          <w:ilvl w:val="0"/>
          <w:numId w:val="1"/>
        </w:numPr>
        <w:spacing w:line="276" w:lineRule="auto"/>
        <w:rPr>
          <w:rFonts w:ascii="Segoe UI" w:hAnsi="Segoe UI" w:cs="Segoe UI"/>
          <w:color w:val="002060"/>
          <w:szCs w:val="24"/>
        </w:rPr>
      </w:pPr>
      <w:r w:rsidRPr="00E21B4F">
        <w:rPr>
          <w:rFonts w:ascii="Segoe UI" w:hAnsi="Segoe UI" w:cs="Segoe UI"/>
          <w:color w:val="002060"/>
          <w:szCs w:val="24"/>
        </w:rPr>
        <w:t>The use of colour is permitted and encouraged.</w:t>
      </w:r>
    </w:p>
    <w:p w14:paraId="3BD46E6C" w14:textId="77777777" w:rsidR="00A11F72" w:rsidRPr="00E21B4F" w:rsidRDefault="00A11F72" w:rsidP="00A11F72">
      <w:pPr>
        <w:pStyle w:val="Listenabsatz"/>
        <w:numPr>
          <w:ilvl w:val="0"/>
          <w:numId w:val="1"/>
        </w:numPr>
        <w:spacing w:line="276" w:lineRule="auto"/>
        <w:rPr>
          <w:rFonts w:ascii="Segoe UI" w:hAnsi="Segoe UI" w:cs="Segoe UI"/>
          <w:color w:val="002060"/>
          <w:szCs w:val="24"/>
        </w:rPr>
      </w:pPr>
      <w:r w:rsidRPr="00E21B4F">
        <w:rPr>
          <w:rFonts w:ascii="Segoe UI" w:hAnsi="Segoe UI" w:cs="Segoe UI"/>
          <w:color w:val="002060"/>
          <w:szCs w:val="24"/>
        </w:rPr>
        <w:t>If possible, please prepare graphics using ChemDraw and its included drawing elements, as this helps with the editorial and production process.</w:t>
      </w:r>
    </w:p>
    <w:p w14:paraId="5F9CFD80" w14:textId="77777777" w:rsidR="00A11F72" w:rsidRPr="00E21B4F" w:rsidRDefault="00A11F72" w:rsidP="00A11F72">
      <w:pPr>
        <w:pStyle w:val="Listenabsatz"/>
        <w:numPr>
          <w:ilvl w:val="0"/>
          <w:numId w:val="1"/>
        </w:numPr>
        <w:spacing w:line="276" w:lineRule="auto"/>
        <w:rPr>
          <w:rFonts w:ascii="Segoe UI" w:hAnsi="Segoe UI" w:cs="Segoe UI"/>
          <w:color w:val="002060"/>
          <w:szCs w:val="24"/>
        </w:rPr>
      </w:pPr>
      <w:r w:rsidRPr="00E21B4F">
        <w:rPr>
          <w:rFonts w:ascii="Segoe UI" w:hAnsi="Segoe UI" w:cs="Segoe UI"/>
          <w:color w:val="002060"/>
          <w:szCs w:val="24"/>
        </w:rPr>
        <w:t>If alternative file formats are supplied (e.g., TIFF, JPG, PNG), please ensure that the image is of sufficiently high resolution and publication quality.</w:t>
      </w:r>
    </w:p>
    <w:p w14:paraId="24B5F04B" w14:textId="77777777" w:rsidR="00A11F72" w:rsidRPr="00E21B4F" w:rsidRDefault="00A11F72" w:rsidP="00A11F72">
      <w:pPr>
        <w:pStyle w:val="Listenabsatz"/>
        <w:numPr>
          <w:ilvl w:val="0"/>
          <w:numId w:val="1"/>
        </w:numPr>
        <w:spacing w:line="276" w:lineRule="auto"/>
        <w:rPr>
          <w:rFonts w:ascii="Segoe UI" w:hAnsi="Segoe UI" w:cs="Segoe UI"/>
          <w:color w:val="002060"/>
          <w:szCs w:val="24"/>
        </w:rPr>
      </w:pPr>
      <w:r w:rsidRPr="00E21B4F">
        <w:rPr>
          <w:rFonts w:ascii="Segoe UI" w:hAnsi="Segoe UI" w:cs="Segoe UI"/>
          <w:color w:val="002060"/>
          <w:szCs w:val="24"/>
        </w:rPr>
        <w:t>The use of clip art or graphics taken from external sources should be avoided.</w:t>
      </w:r>
    </w:p>
    <w:p w14:paraId="72D02A16" w14:textId="77777777" w:rsidR="00A11F72" w:rsidRPr="00E86322" w:rsidRDefault="00A11F72" w:rsidP="00A11F72">
      <w:pPr>
        <w:overflowPunct/>
        <w:autoSpaceDE/>
        <w:autoSpaceDN/>
        <w:adjustRightInd/>
        <w:spacing w:before="0" w:after="0" w:line="240" w:lineRule="auto"/>
        <w:textAlignment w:val="auto"/>
      </w:pPr>
      <w:r w:rsidRPr="00E86322">
        <w:br w:type="page"/>
      </w:r>
    </w:p>
    <w:p w14:paraId="36EB7AB7" w14:textId="77777777" w:rsidR="00A11F72" w:rsidRPr="00482600" w:rsidRDefault="00A11F72" w:rsidP="00A11F72">
      <w:pPr>
        <w:spacing w:line="276" w:lineRule="auto"/>
        <w:rPr>
          <w:rFonts w:ascii="Verdana" w:hAnsi="Verdana"/>
          <w:b/>
          <w:bCs/>
          <w:color w:val="FF0000"/>
          <w:szCs w:val="24"/>
        </w:rPr>
      </w:pPr>
      <w:r w:rsidRPr="00482600">
        <w:rPr>
          <w:rFonts w:ascii="Verdana" w:hAnsi="Verdana"/>
          <w:b/>
          <w:bCs/>
          <w:color w:val="FF0000"/>
          <w:szCs w:val="24"/>
        </w:rPr>
        <w:lastRenderedPageBreak/>
        <w:t>EXAMPLE 1</w:t>
      </w:r>
    </w:p>
    <w:p w14:paraId="02CF878A" w14:textId="77777777" w:rsidR="00A11F72" w:rsidRPr="00BD1ACD" w:rsidRDefault="00A11F72" w:rsidP="00A11F72">
      <w:pPr>
        <w:pStyle w:val="Authors"/>
        <w:jc w:val="left"/>
        <w:rPr>
          <w:b/>
        </w:rPr>
      </w:pPr>
    </w:p>
    <w:p w14:paraId="6E8F706D" w14:textId="77777777" w:rsidR="00A11F72" w:rsidRPr="003C3E7D" w:rsidRDefault="00A11F72" w:rsidP="00A11F72">
      <w:pPr>
        <w:pStyle w:val="P"/>
        <w:jc w:val="left"/>
        <w:rPr>
          <w:b/>
          <w:bCs/>
        </w:rPr>
      </w:pPr>
      <w:r w:rsidRPr="003C3E7D">
        <w:rPr>
          <w:b/>
          <w:bCs/>
        </w:rPr>
        <w:t>TEXT:</w:t>
      </w:r>
    </w:p>
    <w:p w14:paraId="0FD907C1" w14:textId="77777777" w:rsidR="00A11F72" w:rsidRDefault="00A11F72" w:rsidP="00A11F72">
      <w:pPr>
        <w:pStyle w:val="P"/>
        <w:jc w:val="left"/>
      </w:pPr>
      <w:r w:rsidRPr="00730739">
        <w:t xml:space="preserve">This review describes the synthesis of </w:t>
      </w:r>
      <w:proofErr w:type="spellStart"/>
      <w:r w:rsidRPr="00730739">
        <w:t>silyldiazenes</w:t>
      </w:r>
      <w:proofErr w:type="spellEnd"/>
      <w:r w:rsidRPr="00730739">
        <w:t>, a class of azo compounds derived from diazene (</w:t>
      </w:r>
      <w:proofErr w:type="spellStart"/>
      <w:r w:rsidRPr="00730739">
        <w:t>diimide</w:t>
      </w:r>
      <w:proofErr w:type="spellEnd"/>
      <w:r w:rsidRPr="00730739">
        <w:t>, H</w:t>
      </w:r>
      <w:r>
        <w:t>‒</w:t>
      </w:r>
      <w:r w:rsidRPr="00730739">
        <w:t>N=N</w:t>
      </w:r>
      <w:r>
        <w:t>‒</w:t>
      </w:r>
      <w:r w:rsidRPr="00730739">
        <w:t xml:space="preserve">H), wherein at least one of the two hydrogen atoms is substituted by a silyl group. The discussion covers the two primary subclasses of isolable </w:t>
      </w:r>
      <w:proofErr w:type="spellStart"/>
      <w:r w:rsidRPr="00730739">
        <w:t>silyldiazenes</w:t>
      </w:r>
      <w:proofErr w:type="spellEnd"/>
      <w:r w:rsidRPr="00730739">
        <w:t>, 1,2-bis(silyl)</w:t>
      </w:r>
      <w:proofErr w:type="spellStart"/>
      <w:r w:rsidRPr="00730739">
        <w:t>diazenes</w:t>
      </w:r>
      <w:proofErr w:type="spellEnd"/>
      <w:r w:rsidRPr="00730739">
        <w:t xml:space="preserve"> and 1-organo-2-silyldiazenes, which are both invariably prepared by oxidation of </w:t>
      </w:r>
      <w:proofErr w:type="spellStart"/>
      <w:r w:rsidRPr="00730739">
        <w:t>silylated</w:t>
      </w:r>
      <w:proofErr w:type="spellEnd"/>
      <w:r w:rsidRPr="00730739">
        <w:t xml:space="preserve"> hydrazine or hydrazide precursors. The discussion also details the main synthetic applications of 1-organyl-2-silyldiazenes in organic synthesis. These include their use as precursors for the generation of carbanions in nucleophilic arylation and </w:t>
      </w:r>
      <w:proofErr w:type="spellStart"/>
      <w:r w:rsidRPr="00730739">
        <w:t>deprotonative</w:t>
      </w:r>
      <w:proofErr w:type="spellEnd"/>
      <w:r w:rsidRPr="00730739">
        <w:t xml:space="preserve"> </w:t>
      </w:r>
      <w:proofErr w:type="spellStart"/>
      <w:r w:rsidRPr="00730739">
        <w:t>silylation</w:t>
      </w:r>
      <w:proofErr w:type="spellEnd"/>
      <w:r w:rsidRPr="00730739">
        <w:t xml:space="preserve"> reactions, as well as their application in palladium-catalyzed C(sp</w:t>
      </w:r>
      <w:proofErr w:type="gramStart"/>
      <w:r w:rsidRPr="00730739">
        <w:rPr>
          <w:vertAlign w:val="superscript"/>
        </w:rPr>
        <w:t>2</w:t>
      </w:r>
      <w:r w:rsidRPr="00730739">
        <w:t>)</w:t>
      </w:r>
      <w:r>
        <w:t>‒</w:t>
      </w:r>
      <w:proofErr w:type="gramEnd"/>
      <w:r w:rsidRPr="00730739">
        <w:t>N(sp</w:t>
      </w:r>
      <w:r w:rsidRPr="00730739">
        <w:rPr>
          <w:vertAlign w:val="superscript"/>
        </w:rPr>
        <w:t>2</w:t>
      </w:r>
      <w:r w:rsidRPr="00730739">
        <w:t xml:space="preserve">) cross-couplings for the synthesis of </w:t>
      </w:r>
      <w:proofErr w:type="spellStart"/>
      <w:r w:rsidRPr="00730739">
        <w:t>azobenzenes</w:t>
      </w:r>
      <w:proofErr w:type="spellEnd"/>
      <w:r w:rsidRPr="00730739">
        <w:t>.</w:t>
      </w:r>
    </w:p>
    <w:p w14:paraId="140B2ECA" w14:textId="77777777" w:rsidR="00A11F72" w:rsidRPr="00D5313B" w:rsidRDefault="00A11F72" w:rsidP="00A11F72">
      <w:pPr>
        <w:pStyle w:val="P"/>
        <w:jc w:val="left"/>
        <w:rPr>
          <w:b/>
          <w:bCs/>
        </w:rPr>
      </w:pPr>
      <w:r w:rsidRPr="00D9168C">
        <w:rPr>
          <w:b/>
          <w:bCs/>
        </w:rPr>
        <w:t>GRAPHIC</w:t>
      </w:r>
      <w:r>
        <w:rPr>
          <w:b/>
          <w:bCs/>
        </w:rPr>
        <w:t>:</w:t>
      </w:r>
    </w:p>
    <w:p w14:paraId="0C0EAD4A" w14:textId="77777777" w:rsidR="00A11F72" w:rsidRDefault="00A11F72" w:rsidP="00A11F72">
      <w:pPr>
        <w:pStyle w:val="Figure"/>
      </w:pPr>
      <w:r>
        <w:object w:dxaOrig="6982" w:dyaOrig="3401" w14:anchorId="3E060B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69.5pt" o:ole="">
            <v:imagedata r:id="rId5" o:title=""/>
          </v:shape>
          <o:OLEObject Type="Embed" ProgID="ChemDraw.Document.6.0" ShapeID="_x0000_i1025" DrawAspect="Content" ObjectID="_1851750259" r:id="rId6"/>
        </w:object>
      </w:r>
    </w:p>
    <w:p w14:paraId="2A1AA250" w14:textId="77777777" w:rsidR="00A11F72" w:rsidRPr="00730739" w:rsidRDefault="00A11F72" w:rsidP="00A11F72">
      <w:pPr>
        <w:pStyle w:val="KWD"/>
        <w:rPr>
          <w:b/>
          <w:bCs/>
          <w:lang w:eastAsia="de-AT"/>
        </w:rPr>
      </w:pPr>
      <w:r w:rsidRPr="00730739">
        <w:rPr>
          <w:b/>
          <w:bCs/>
          <w:lang w:eastAsia="de-AT"/>
        </w:rPr>
        <w:t>KEYWORDS</w:t>
      </w:r>
      <w:r>
        <w:rPr>
          <w:b/>
          <w:bCs/>
          <w:lang w:eastAsia="de-AT"/>
        </w:rPr>
        <w:t>:</w:t>
      </w:r>
    </w:p>
    <w:p w14:paraId="5AD193E7" w14:textId="77777777" w:rsidR="00A11F72" w:rsidRPr="00C01974" w:rsidRDefault="00A11F72" w:rsidP="00A11F72">
      <w:pPr>
        <w:pStyle w:val="KWD"/>
      </w:pPr>
      <w:proofErr w:type="spellStart"/>
      <w:r w:rsidRPr="00730739">
        <w:rPr>
          <w:lang w:eastAsia="de-AT"/>
        </w:rPr>
        <w:t>silyldiazenes</w:t>
      </w:r>
      <w:proofErr w:type="spellEnd"/>
      <w:r>
        <w:rPr>
          <w:lang w:eastAsia="de-AT"/>
        </w:rPr>
        <w:br/>
      </w:r>
      <w:r w:rsidRPr="00730739">
        <w:rPr>
          <w:lang w:eastAsia="de-AT"/>
        </w:rPr>
        <w:t>azo compounds</w:t>
      </w:r>
      <w:r>
        <w:rPr>
          <w:lang w:eastAsia="de-AT"/>
        </w:rPr>
        <w:br/>
      </w:r>
      <w:proofErr w:type="spellStart"/>
      <w:r w:rsidRPr="00730739">
        <w:rPr>
          <w:lang w:eastAsia="de-AT"/>
        </w:rPr>
        <w:t>hydrazines</w:t>
      </w:r>
      <w:proofErr w:type="spellEnd"/>
      <w:r>
        <w:rPr>
          <w:lang w:eastAsia="de-AT"/>
        </w:rPr>
        <w:br/>
      </w:r>
      <w:proofErr w:type="spellStart"/>
      <w:r w:rsidRPr="00730739">
        <w:rPr>
          <w:lang w:eastAsia="de-AT"/>
        </w:rPr>
        <w:t>silylhydrazines</w:t>
      </w:r>
      <w:proofErr w:type="spellEnd"/>
      <w:r>
        <w:rPr>
          <w:lang w:eastAsia="de-AT"/>
        </w:rPr>
        <w:br/>
      </w:r>
      <w:r w:rsidRPr="00730739">
        <w:rPr>
          <w:lang w:eastAsia="de-AT"/>
        </w:rPr>
        <w:t>oxidation</w:t>
      </w:r>
      <w:r>
        <w:rPr>
          <w:lang w:eastAsia="de-AT"/>
        </w:rPr>
        <w:br/>
      </w:r>
      <w:r w:rsidRPr="00730739">
        <w:rPr>
          <w:lang w:eastAsia="de-AT"/>
        </w:rPr>
        <w:t>nucleophilic arylation</w:t>
      </w:r>
      <w:r>
        <w:rPr>
          <w:lang w:eastAsia="de-AT"/>
        </w:rPr>
        <w:br/>
      </w:r>
      <w:r w:rsidRPr="00730739">
        <w:rPr>
          <w:lang w:eastAsia="de-AT"/>
        </w:rPr>
        <w:t>C</w:t>
      </w:r>
      <w:r>
        <w:t>‒</w:t>
      </w:r>
      <w:r w:rsidRPr="00730739">
        <w:rPr>
          <w:lang w:eastAsia="de-AT"/>
        </w:rPr>
        <w:t xml:space="preserve">H </w:t>
      </w:r>
      <w:proofErr w:type="spellStart"/>
      <w:r w:rsidRPr="00730739">
        <w:rPr>
          <w:lang w:eastAsia="de-AT"/>
        </w:rPr>
        <w:t>silylation</w:t>
      </w:r>
      <w:proofErr w:type="spellEnd"/>
      <w:r>
        <w:rPr>
          <w:lang w:eastAsia="de-AT"/>
        </w:rPr>
        <w:br/>
      </w:r>
      <w:r w:rsidRPr="00730739">
        <w:rPr>
          <w:lang w:eastAsia="de-AT"/>
        </w:rPr>
        <w:t>carbanions</w:t>
      </w:r>
      <w:r>
        <w:rPr>
          <w:lang w:eastAsia="de-AT"/>
        </w:rPr>
        <w:br/>
      </w:r>
      <w:r w:rsidRPr="00730739">
        <w:rPr>
          <w:lang w:eastAsia="de-AT"/>
        </w:rPr>
        <w:t>cross coupling</w:t>
      </w:r>
      <w:r>
        <w:rPr>
          <w:lang w:eastAsia="de-AT"/>
        </w:rPr>
        <w:br/>
      </w:r>
      <w:r w:rsidRPr="00730739">
        <w:rPr>
          <w:lang w:eastAsia="de-AT"/>
        </w:rPr>
        <w:t>palladium catalysis</w:t>
      </w:r>
      <w:r>
        <w:rPr>
          <w:lang w:eastAsia="de-AT"/>
        </w:rPr>
        <w:br/>
      </w:r>
      <w:proofErr w:type="spellStart"/>
      <w:r w:rsidRPr="00730739">
        <w:rPr>
          <w:lang w:eastAsia="de-AT"/>
        </w:rPr>
        <w:t>azobenzenes</w:t>
      </w:r>
      <w:proofErr w:type="spellEnd"/>
      <w:r>
        <w:rPr>
          <w:rFonts w:ascii="Verdana" w:hAnsi="Verdana"/>
          <w:b/>
          <w:bCs/>
          <w:color w:val="FF0000"/>
        </w:rPr>
        <w:br w:type="page"/>
      </w:r>
    </w:p>
    <w:p w14:paraId="3523F1A4" w14:textId="77777777" w:rsidR="00A11F72" w:rsidRPr="00730739" w:rsidRDefault="00A11F72" w:rsidP="00A11F72">
      <w:pPr>
        <w:pStyle w:val="KWD"/>
        <w:rPr>
          <w:lang w:eastAsia="de-AT"/>
        </w:rPr>
      </w:pPr>
      <w:r w:rsidRPr="00482600">
        <w:rPr>
          <w:rFonts w:ascii="Verdana" w:hAnsi="Verdana"/>
          <w:b/>
          <w:bCs/>
          <w:color w:val="FF0000"/>
        </w:rPr>
        <w:lastRenderedPageBreak/>
        <w:t>EXAMPLE 2</w:t>
      </w:r>
    </w:p>
    <w:p w14:paraId="3EF9E98F" w14:textId="77777777" w:rsidR="00A11F72" w:rsidRPr="00E21B4F" w:rsidRDefault="00A11F72" w:rsidP="00A11F72">
      <w:pPr>
        <w:widowControl w:val="0"/>
        <w:overflowPunct/>
        <w:autoSpaceDE/>
        <w:autoSpaceDN/>
        <w:adjustRightInd/>
        <w:spacing w:before="0" w:after="0" w:line="240" w:lineRule="auto"/>
        <w:textAlignment w:val="auto"/>
        <w:rPr>
          <w:rFonts w:ascii="Century" w:eastAsia="MS Mincho" w:hAnsi="Century"/>
          <w:noProof w:val="0"/>
          <w:kern w:val="2"/>
          <w:szCs w:val="24"/>
        </w:rPr>
      </w:pPr>
    </w:p>
    <w:p w14:paraId="1481E9A5" w14:textId="77777777" w:rsidR="00A11F72" w:rsidRPr="003C3E7D" w:rsidRDefault="00A11F72" w:rsidP="00A11F72">
      <w:pPr>
        <w:widowControl w:val="0"/>
        <w:overflowPunct/>
        <w:autoSpaceDE/>
        <w:autoSpaceDN/>
        <w:adjustRightInd/>
        <w:spacing w:before="0" w:after="0" w:line="240" w:lineRule="auto"/>
        <w:textAlignment w:val="auto"/>
        <w:rPr>
          <w:rFonts w:eastAsia="MS Mincho"/>
          <w:b/>
          <w:bCs/>
          <w:noProof w:val="0"/>
          <w:kern w:val="2"/>
          <w:szCs w:val="24"/>
        </w:rPr>
      </w:pPr>
      <w:r w:rsidRPr="003C3E7D">
        <w:rPr>
          <w:rFonts w:eastAsia="MS Mincho"/>
          <w:b/>
          <w:bCs/>
          <w:noProof w:val="0"/>
          <w:kern w:val="2"/>
          <w:szCs w:val="24"/>
        </w:rPr>
        <w:t>TEXT:</w:t>
      </w:r>
    </w:p>
    <w:p w14:paraId="56ED187C" w14:textId="77777777" w:rsidR="00A11F72" w:rsidRDefault="00A11F72" w:rsidP="00A11F72">
      <w:pPr>
        <w:widowControl w:val="0"/>
        <w:overflowPunct/>
        <w:autoSpaceDE/>
        <w:autoSpaceDN/>
        <w:adjustRightInd/>
        <w:spacing w:before="0" w:after="0" w:line="240" w:lineRule="auto"/>
        <w:textAlignment w:val="auto"/>
        <w:rPr>
          <w:rFonts w:eastAsia="MS Mincho"/>
          <w:noProof w:val="0"/>
          <w:kern w:val="2"/>
          <w:szCs w:val="24"/>
        </w:rPr>
      </w:pPr>
      <w:r w:rsidRPr="00D9168C">
        <w:rPr>
          <w:rFonts w:eastAsia="MS Mincho"/>
          <w:noProof w:val="0"/>
          <w:kern w:val="2"/>
          <w:szCs w:val="24"/>
        </w:rPr>
        <w:t>While paired electrochemical reactions have a history that can be traced back to the 19th century and have been very effectively used for the production of commercial products, the larger synthetic community has only recently started to embrace the opportunities this approach offers to maximize the overall energy and atom efficiency of electrochemical processes. In this review, a summary of these efforts is presented in the context of four classes of paired electrochemical reactions. These classes of reaction involve parallel processing of products at the anode and cathode, divergent reactions that use a single starting material in different ways, convergent reactions that combine products made at the anode and cathode, and sequential reactions that pass a substrate between the electrodes.</w:t>
      </w:r>
    </w:p>
    <w:p w14:paraId="60D13A11" w14:textId="77777777" w:rsidR="00A11F72" w:rsidRPr="00D9168C" w:rsidRDefault="00A11F72" w:rsidP="00A11F72">
      <w:pPr>
        <w:pStyle w:val="P"/>
        <w:jc w:val="left"/>
        <w:rPr>
          <w:b/>
          <w:bCs/>
        </w:rPr>
      </w:pPr>
      <w:r w:rsidRPr="00D9168C">
        <w:rPr>
          <w:b/>
          <w:bCs/>
        </w:rPr>
        <w:t>GRAPHIC</w:t>
      </w:r>
      <w:r>
        <w:rPr>
          <w:b/>
          <w:bCs/>
        </w:rPr>
        <w:t>:</w:t>
      </w:r>
    </w:p>
    <w:p w14:paraId="55AD8307" w14:textId="77777777" w:rsidR="00A11F72" w:rsidRPr="00D9168C" w:rsidRDefault="00A11F72" w:rsidP="00A11F72">
      <w:pPr>
        <w:widowControl w:val="0"/>
        <w:overflowPunct/>
        <w:autoSpaceDE/>
        <w:autoSpaceDN/>
        <w:adjustRightInd/>
        <w:spacing w:before="0" w:after="0" w:line="240" w:lineRule="auto"/>
        <w:textAlignment w:val="auto"/>
        <w:rPr>
          <w:rFonts w:eastAsia="MS Mincho"/>
          <w:noProof w:val="0"/>
          <w:kern w:val="2"/>
          <w:szCs w:val="24"/>
        </w:rPr>
      </w:pPr>
      <w:r w:rsidRPr="00D9168C">
        <w:rPr>
          <w:rFonts w:eastAsia="MS Mincho"/>
          <w:noProof w:val="0"/>
          <w:kern w:val="2"/>
          <w:szCs w:val="24"/>
        </w:rPr>
        <w:object w:dxaOrig="7289" w:dyaOrig="3550" w14:anchorId="08E94AE6">
          <v:shape id="_x0000_i1026" type="#_x0000_t75" style="width:307.5pt;height:150pt" o:ole="">
            <v:imagedata r:id="rId7" o:title=""/>
          </v:shape>
          <o:OLEObject Type="Embed" ProgID="ChemDraw.Document.6.0" ShapeID="_x0000_i1026" DrawAspect="Content" ObjectID="_1851750260" r:id="rId8"/>
        </w:object>
      </w:r>
    </w:p>
    <w:p w14:paraId="7C88901C" w14:textId="77777777" w:rsidR="00A11F72" w:rsidRPr="00D9168C" w:rsidRDefault="00A11F72" w:rsidP="00A11F72">
      <w:pPr>
        <w:widowControl w:val="0"/>
        <w:overflowPunct/>
        <w:autoSpaceDE/>
        <w:autoSpaceDN/>
        <w:adjustRightInd/>
        <w:spacing w:before="0" w:after="0" w:line="240" w:lineRule="auto"/>
        <w:textAlignment w:val="auto"/>
        <w:rPr>
          <w:rFonts w:eastAsia="MS Mincho"/>
          <w:b/>
          <w:bCs/>
          <w:noProof w:val="0"/>
          <w:kern w:val="2"/>
          <w:szCs w:val="24"/>
        </w:rPr>
      </w:pPr>
      <w:r w:rsidRPr="00D9168C">
        <w:rPr>
          <w:rFonts w:eastAsia="MS Mincho"/>
          <w:b/>
          <w:bCs/>
          <w:noProof w:val="0"/>
          <w:kern w:val="2"/>
          <w:szCs w:val="24"/>
        </w:rPr>
        <w:t>KEYWORDS</w:t>
      </w:r>
      <w:r>
        <w:rPr>
          <w:rFonts w:eastAsia="MS Mincho"/>
          <w:b/>
          <w:bCs/>
          <w:noProof w:val="0"/>
          <w:kern w:val="2"/>
          <w:szCs w:val="24"/>
        </w:rPr>
        <w:t>:</w:t>
      </w:r>
    </w:p>
    <w:p w14:paraId="1E0D89F2" w14:textId="77777777" w:rsidR="00A11F72" w:rsidRPr="00D5313B" w:rsidRDefault="00A11F72" w:rsidP="00A11F72">
      <w:pPr>
        <w:widowControl w:val="0"/>
        <w:overflowPunct/>
        <w:autoSpaceDE/>
        <w:autoSpaceDN/>
        <w:adjustRightInd/>
        <w:spacing w:before="0" w:after="0" w:line="240" w:lineRule="auto"/>
        <w:textAlignment w:val="auto"/>
        <w:rPr>
          <w:rFonts w:eastAsia="MS Mincho"/>
          <w:noProof w:val="0"/>
          <w:kern w:val="2"/>
          <w:szCs w:val="24"/>
        </w:rPr>
      </w:pPr>
      <w:proofErr w:type="spellStart"/>
      <w:r w:rsidRPr="00D9168C">
        <w:rPr>
          <w:rFonts w:eastAsia="MS Mincho"/>
          <w:noProof w:val="0"/>
          <w:kern w:val="2"/>
          <w:szCs w:val="24"/>
        </w:rPr>
        <w:t>electroorganic</w:t>
      </w:r>
      <w:proofErr w:type="spellEnd"/>
      <w:r w:rsidRPr="00D9168C">
        <w:rPr>
          <w:rFonts w:eastAsia="MS Mincho"/>
          <w:noProof w:val="0"/>
          <w:kern w:val="2"/>
          <w:szCs w:val="24"/>
        </w:rPr>
        <w:t xml:space="preserve"> chemistry</w:t>
      </w:r>
      <w:r w:rsidRPr="00D9168C">
        <w:rPr>
          <w:rFonts w:eastAsia="MS Mincho"/>
          <w:noProof w:val="0"/>
          <w:kern w:val="2"/>
          <w:szCs w:val="24"/>
        </w:rPr>
        <w:br/>
        <w:t>paired electrochemistry</w:t>
      </w:r>
      <w:r w:rsidRPr="00D9168C">
        <w:rPr>
          <w:rFonts w:eastAsia="MS Mincho"/>
          <w:noProof w:val="0"/>
          <w:kern w:val="2"/>
          <w:szCs w:val="24"/>
        </w:rPr>
        <w:br/>
        <w:t>anodic oxidation</w:t>
      </w:r>
      <w:r w:rsidRPr="00D9168C">
        <w:rPr>
          <w:rFonts w:eastAsia="MS Mincho"/>
          <w:noProof w:val="0"/>
          <w:kern w:val="2"/>
          <w:szCs w:val="24"/>
        </w:rPr>
        <w:br/>
        <w:t>cathodic reduction</w:t>
      </w:r>
    </w:p>
    <w:p w14:paraId="0D4D2219" w14:textId="77777777" w:rsidR="001022CC" w:rsidRDefault="001022CC"/>
    <w:sectPr w:rsidR="001022CC" w:rsidSect="00A11F72">
      <w:pgSz w:w="12240" w:h="15840"/>
      <w:pgMar w:top="1361" w:right="1797" w:bottom="124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C23FA"/>
    <w:multiLevelType w:val="hybridMultilevel"/>
    <w:tmpl w:val="BAFAA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A5ECB"/>
    <w:multiLevelType w:val="hybridMultilevel"/>
    <w:tmpl w:val="B68E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7703429">
    <w:abstractNumId w:val="0"/>
  </w:num>
  <w:num w:numId="2" w16cid:durableId="277684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F72"/>
    <w:rsid w:val="00000371"/>
    <w:rsid w:val="00011208"/>
    <w:rsid w:val="00012B61"/>
    <w:rsid w:val="00012DEF"/>
    <w:rsid w:val="000135B3"/>
    <w:rsid w:val="00015AB6"/>
    <w:rsid w:val="000168C6"/>
    <w:rsid w:val="00016B67"/>
    <w:rsid w:val="00016F26"/>
    <w:rsid w:val="0002383E"/>
    <w:rsid w:val="00024CAB"/>
    <w:rsid w:val="00025350"/>
    <w:rsid w:val="00027BEF"/>
    <w:rsid w:val="0003041B"/>
    <w:rsid w:val="0003126C"/>
    <w:rsid w:val="0003130D"/>
    <w:rsid w:val="000411A6"/>
    <w:rsid w:val="00046190"/>
    <w:rsid w:val="00047D28"/>
    <w:rsid w:val="00047F48"/>
    <w:rsid w:val="00055865"/>
    <w:rsid w:val="00056A52"/>
    <w:rsid w:val="00057E76"/>
    <w:rsid w:val="00060556"/>
    <w:rsid w:val="00067595"/>
    <w:rsid w:val="000676FA"/>
    <w:rsid w:val="00071A73"/>
    <w:rsid w:val="00080DDA"/>
    <w:rsid w:val="000879D5"/>
    <w:rsid w:val="0009225B"/>
    <w:rsid w:val="00094281"/>
    <w:rsid w:val="00096FE1"/>
    <w:rsid w:val="000A2B11"/>
    <w:rsid w:val="000A46DD"/>
    <w:rsid w:val="000A4E72"/>
    <w:rsid w:val="000A755A"/>
    <w:rsid w:val="000B319B"/>
    <w:rsid w:val="000B6955"/>
    <w:rsid w:val="000C146A"/>
    <w:rsid w:val="000C2189"/>
    <w:rsid w:val="000C2391"/>
    <w:rsid w:val="000C27F4"/>
    <w:rsid w:val="000C2E35"/>
    <w:rsid w:val="000C6F4D"/>
    <w:rsid w:val="000C7930"/>
    <w:rsid w:val="000D096A"/>
    <w:rsid w:val="000D39BA"/>
    <w:rsid w:val="000D709E"/>
    <w:rsid w:val="000E05E8"/>
    <w:rsid w:val="000E6C64"/>
    <w:rsid w:val="000E7188"/>
    <w:rsid w:val="000F11B0"/>
    <w:rsid w:val="001022CC"/>
    <w:rsid w:val="00107FAA"/>
    <w:rsid w:val="00123028"/>
    <w:rsid w:val="00123121"/>
    <w:rsid w:val="00132891"/>
    <w:rsid w:val="00133C94"/>
    <w:rsid w:val="00136C14"/>
    <w:rsid w:val="00140F11"/>
    <w:rsid w:val="001423C2"/>
    <w:rsid w:val="001432E5"/>
    <w:rsid w:val="00143683"/>
    <w:rsid w:val="001452FA"/>
    <w:rsid w:val="00145D0D"/>
    <w:rsid w:val="00153B5D"/>
    <w:rsid w:val="00154BCF"/>
    <w:rsid w:val="001605E7"/>
    <w:rsid w:val="00162134"/>
    <w:rsid w:val="001628C0"/>
    <w:rsid w:val="00165F42"/>
    <w:rsid w:val="00166DE5"/>
    <w:rsid w:val="001708D7"/>
    <w:rsid w:val="00173B99"/>
    <w:rsid w:val="00173D30"/>
    <w:rsid w:val="00175CEF"/>
    <w:rsid w:val="00183353"/>
    <w:rsid w:val="001837E7"/>
    <w:rsid w:val="00190762"/>
    <w:rsid w:val="00193E4D"/>
    <w:rsid w:val="001A1A45"/>
    <w:rsid w:val="001A32F1"/>
    <w:rsid w:val="001A4A2B"/>
    <w:rsid w:val="001A6641"/>
    <w:rsid w:val="001C0806"/>
    <w:rsid w:val="001C5FD1"/>
    <w:rsid w:val="001C622B"/>
    <w:rsid w:val="001C689F"/>
    <w:rsid w:val="001D0AA4"/>
    <w:rsid w:val="001D0E6C"/>
    <w:rsid w:val="001D30C9"/>
    <w:rsid w:val="001D3EBE"/>
    <w:rsid w:val="001D5C6D"/>
    <w:rsid w:val="001D7F78"/>
    <w:rsid w:val="001E0F55"/>
    <w:rsid w:val="001E1320"/>
    <w:rsid w:val="001E1544"/>
    <w:rsid w:val="001E4E16"/>
    <w:rsid w:val="001F542E"/>
    <w:rsid w:val="001F55A0"/>
    <w:rsid w:val="001F728E"/>
    <w:rsid w:val="00200660"/>
    <w:rsid w:val="00201824"/>
    <w:rsid w:val="0020367D"/>
    <w:rsid w:val="00204D47"/>
    <w:rsid w:val="002071B2"/>
    <w:rsid w:val="00210E1A"/>
    <w:rsid w:val="00211BC6"/>
    <w:rsid w:val="00214AD4"/>
    <w:rsid w:val="0021675B"/>
    <w:rsid w:val="002169CC"/>
    <w:rsid w:val="00223E86"/>
    <w:rsid w:val="002256E3"/>
    <w:rsid w:val="0023017F"/>
    <w:rsid w:val="00235F92"/>
    <w:rsid w:val="002379F6"/>
    <w:rsid w:val="00240394"/>
    <w:rsid w:val="002408FA"/>
    <w:rsid w:val="002423AD"/>
    <w:rsid w:val="002425F3"/>
    <w:rsid w:val="00246529"/>
    <w:rsid w:val="0025056A"/>
    <w:rsid w:val="00255300"/>
    <w:rsid w:val="00260F6E"/>
    <w:rsid w:val="00261358"/>
    <w:rsid w:val="002646A9"/>
    <w:rsid w:val="00266D70"/>
    <w:rsid w:val="002718D0"/>
    <w:rsid w:val="00271B74"/>
    <w:rsid w:val="00271F66"/>
    <w:rsid w:val="00272A5C"/>
    <w:rsid w:val="00272BBF"/>
    <w:rsid w:val="00272DE7"/>
    <w:rsid w:val="00280865"/>
    <w:rsid w:val="00280B83"/>
    <w:rsid w:val="0028616F"/>
    <w:rsid w:val="00290E62"/>
    <w:rsid w:val="002975FA"/>
    <w:rsid w:val="002A06E2"/>
    <w:rsid w:val="002A4522"/>
    <w:rsid w:val="002A4E03"/>
    <w:rsid w:val="002A7D56"/>
    <w:rsid w:val="002B40F5"/>
    <w:rsid w:val="002B4D29"/>
    <w:rsid w:val="002B5D6C"/>
    <w:rsid w:val="002B766E"/>
    <w:rsid w:val="002C16C3"/>
    <w:rsid w:val="002D4A2D"/>
    <w:rsid w:val="002D6AC0"/>
    <w:rsid w:val="002E0787"/>
    <w:rsid w:val="002E3B8D"/>
    <w:rsid w:val="002E5145"/>
    <w:rsid w:val="002E69F5"/>
    <w:rsid w:val="002E7A52"/>
    <w:rsid w:val="002F1ABC"/>
    <w:rsid w:val="002F46A7"/>
    <w:rsid w:val="002F599F"/>
    <w:rsid w:val="002F622B"/>
    <w:rsid w:val="00300001"/>
    <w:rsid w:val="0030090E"/>
    <w:rsid w:val="003023A0"/>
    <w:rsid w:val="003069AA"/>
    <w:rsid w:val="0031131F"/>
    <w:rsid w:val="00314491"/>
    <w:rsid w:val="003245C0"/>
    <w:rsid w:val="00326370"/>
    <w:rsid w:val="00326737"/>
    <w:rsid w:val="0033011E"/>
    <w:rsid w:val="003311B3"/>
    <w:rsid w:val="00332A63"/>
    <w:rsid w:val="00334EF0"/>
    <w:rsid w:val="003351CD"/>
    <w:rsid w:val="00337CD2"/>
    <w:rsid w:val="003400EC"/>
    <w:rsid w:val="00341190"/>
    <w:rsid w:val="0034273F"/>
    <w:rsid w:val="0034363D"/>
    <w:rsid w:val="00343C57"/>
    <w:rsid w:val="0034468C"/>
    <w:rsid w:val="00351517"/>
    <w:rsid w:val="00351779"/>
    <w:rsid w:val="00354FE8"/>
    <w:rsid w:val="003579D5"/>
    <w:rsid w:val="00362403"/>
    <w:rsid w:val="003625F2"/>
    <w:rsid w:val="00363E98"/>
    <w:rsid w:val="00366E9C"/>
    <w:rsid w:val="0037146B"/>
    <w:rsid w:val="003725E3"/>
    <w:rsid w:val="00372F37"/>
    <w:rsid w:val="00375AA1"/>
    <w:rsid w:val="00375B91"/>
    <w:rsid w:val="003766EC"/>
    <w:rsid w:val="003831D9"/>
    <w:rsid w:val="00387B9E"/>
    <w:rsid w:val="003925B9"/>
    <w:rsid w:val="00395D0F"/>
    <w:rsid w:val="003A49F6"/>
    <w:rsid w:val="003A5EC4"/>
    <w:rsid w:val="003A6964"/>
    <w:rsid w:val="003C0E7C"/>
    <w:rsid w:val="003C2771"/>
    <w:rsid w:val="003C7204"/>
    <w:rsid w:val="003C76B9"/>
    <w:rsid w:val="003D6CC3"/>
    <w:rsid w:val="003E3EC8"/>
    <w:rsid w:val="003E7697"/>
    <w:rsid w:val="003F44CD"/>
    <w:rsid w:val="00400B96"/>
    <w:rsid w:val="004029DC"/>
    <w:rsid w:val="00407352"/>
    <w:rsid w:val="00414364"/>
    <w:rsid w:val="004145B6"/>
    <w:rsid w:val="00420415"/>
    <w:rsid w:val="00421A1C"/>
    <w:rsid w:val="0042622E"/>
    <w:rsid w:val="004277E8"/>
    <w:rsid w:val="00432D00"/>
    <w:rsid w:val="00433C30"/>
    <w:rsid w:val="00434115"/>
    <w:rsid w:val="00442424"/>
    <w:rsid w:val="00450E06"/>
    <w:rsid w:val="00454C1D"/>
    <w:rsid w:val="0045716D"/>
    <w:rsid w:val="00460E2E"/>
    <w:rsid w:val="00461E6B"/>
    <w:rsid w:val="0046240B"/>
    <w:rsid w:val="00465F80"/>
    <w:rsid w:val="0046688F"/>
    <w:rsid w:val="00467D3B"/>
    <w:rsid w:val="00472CE7"/>
    <w:rsid w:val="00476947"/>
    <w:rsid w:val="004775B6"/>
    <w:rsid w:val="00477BBC"/>
    <w:rsid w:val="004852C9"/>
    <w:rsid w:val="00494FDE"/>
    <w:rsid w:val="0049579D"/>
    <w:rsid w:val="00495859"/>
    <w:rsid w:val="00497425"/>
    <w:rsid w:val="00497C5E"/>
    <w:rsid w:val="004A5D3E"/>
    <w:rsid w:val="004A6467"/>
    <w:rsid w:val="004B0C79"/>
    <w:rsid w:val="004B5423"/>
    <w:rsid w:val="004C4107"/>
    <w:rsid w:val="004C6E48"/>
    <w:rsid w:val="004D352F"/>
    <w:rsid w:val="004D3621"/>
    <w:rsid w:val="004D67F6"/>
    <w:rsid w:val="004E2499"/>
    <w:rsid w:val="004E2C4E"/>
    <w:rsid w:val="004E4778"/>
    <w:rsid w:val="004E63CD"/>
    <w:rsid w:val="004F03E5"/>
    <w:rsid w:val="004F0E2B"/>
    <w:rsid w:val="004F6F1B"/>
    <w:rsid w:val="004F71C9"/>
    <w:rsid w:val="00501357"/>
    <w:rsid w:val="005039CC"/>
    <w:rsid w:val="00505F56"/>
    <w:rsid w:val="00507D53"/>
    <w:rsid w:val="00511FA2"/>
    <w:rsid w:val="00516291"/>
    <w:rsid w:val="00516C1C"/>
    <w:rsid w:val="00516CE4"/>
    <w:rsid w:val="00520078"/>
    <w:rsid w:val="005228BA"/>
    <w:rsid w:val="0053181B"/>
    <w:rsid w:val="00531B16"/>
    <w:rsid w:val="005349F6"/>
    <w:rsid w:val="00537074"/>
    <w:rsid w:val="00543122"/>
    <w:rsid w:val="00544032"/>
    <w:rsid w:val="005442A5"/>
    <w:rsid w:val="00547647"/>
    <w:rsid w:val="0055142E"/>
    <w:rsid w:val="00555817"/>
    <w:rsid w:val="00557793"/>
    <w:rsid w:val="005647C7"/>
    <w:rsid w:val="0056698C"/>
    <w:rsid w:val="00566FD9"/>
    <w:rsid w:val="00567B43"/>
    <w:rsid w:val="005739CE"/>
    <w:rsid w:val="00576199"/>
    <w:rsid w:val="005807FC"/>
    <w:rsid w:val="00582636"/>
    <w:rsid w:val="00586521"/>
    <w:rsid w:val="005916BD"/>
    <w:rsid w:val="00591BF4"/>
    <w:rsid w:val="00596C84"/>
    <w:rsid w:val="005974EE"/>
    <w:rsid w:val="005A578F"/>
    <w:rsid w:val="005B4CB1"/>
    <w:rsid w:val="005B6132"/>
    <w:rsid w:val="005C0D6F"/>
    <w:rsid w:val="005C18F9"/>
    <w:rsid w:val="005C1E02"/>
    <w:rsid w:val="005C272F"/>
    <w:rsid w:val="005C4468"/>
    <w:rsid w:val="005C5C92"/>
    <w:rsid w:val="005C6D40"/>
    <w:rsid w:val="005C7F48"/>
    <w:rsid w:val="005D1411"/>
    <w:rsid w:val="005D62BC"/>
    <w:rsid w:val="005D7BD2"/>
    <w:rsid w:val="005E262C"/>
    <w:rsid w:val="005E3ECC"/>
    <w:rsid w:val="005E5316"/>
    <w:rsid w:val="005E655D"/>
    <w:rsid w:val="005F237F"/>
    <w:rsid w:val="005F3E60"/>
    <w:rsid w:val="005F546C"/>
    <w:rsid w:val="005F636C"/>
    <w:rsid w:val="005F696E"/>
    <w:rsid w:val="006002AE"/>
    <w:rsid w:val="00601A6D"/>
    <w:rsid w:val="00602976"/>
    <w:rsid w:val="006075A3"/>
    <w:rsid w:val="00612223"/>
    <w:rsid w:val="00615C35"/>
    <w:rsid w:val="0061678A"/>
    <w:rsid w:val="0062137B"/>
    <w:rsid w:val="00621B73"/>
    <w:rsid w:val="00627121"/>
    <w:rsid w:val="0062737B"/>
    <w:rsid w:val="006309C0"/>
    <w:rsid w:val="00634984"/>
    <w:rsid w:val="006363B2"/>
    <w:rsid w:val="006446A9"/>
    <w:rsid w:val="00645CF2"/>
    <w:rsid w:val="006505D6"/>
    <w:rsid w:val="0065272C"/>
    <w:rsid w:val="0065588D"/>
    <w:rsid w:val="00655C5C"/>
    <w:rsid w:val="00656C10"/>
    <w:rsid w:val="00660FE8"/>
    <w:rsid w:val="00665949"/>
    <w:rsid w:val="00672661"/>
    <w:rsid w:val="00674522"/>
    <w:rsid w:val="00680020"/>
    <w:rsid w:val="00684D57"/>
    <w:rsid w:val="0069004F"/>
    <w:rsid w:val="0069319E"/>
    <w:rsid w:val="00694ACA"/>
    <w:rsid w:val="00696127"/>
    <w:rsid w:val="006A05A9"/>
    <w:rsid w:val="006A680D"/>
    <w:rsid w:val="006B5CA1"/>
    <w:rsid w:val="006C4377"/>
    <w:rsid w:val="006C479B"/>
    <w:rsid w:val="006D3C95"/>
    <w:rsid w:val="006D6598"/>
    <w:rsid w:val="006D757F"/>
    <w:rsid w:val="006D7630"/>
    <w:rsid w:val="006D7B99"/>
    <w:rsid w:val="006E50BB"/>
    <w:rsid w:val="006E5A70"/>
    <w:rsid w:val="006E5FC1"/>
    <w:rsid w:val="006E78FD"/>
    <w:rsid w:val="006F7CC4"/>
    <w:rsid w:val="0070503D"/>
    <w:rsid w:val="0070563A"/>
    <w:rsid w:val="00705847"/>
    <w:rsid w:val="0071073F"/>
    <w:rsid w:val="00715953"/>
    <w:rsid w:val="007167EF"/>
    <w:rsid w:val="00720275"/>
    <w:rsid w:val="00720B50"/>
    <w:rsid w:val="00721D28"/>
    <w:rsid w:val="00723C9C"/>
    <w:rsid w:val="00724307"/>
    <w:rsid w:val="0072619A"/>
    <w:rsid w:val="007318F2"/>
    <w:rsid w:val="00734105"/>
    <w:rsid w:val="007376D8"/>
    <w:rsid w:val="00740C4D"/>
    <w:rsid w:val="007449C2"/>
    <w:rsid w:val="00751180"/>
    <w:rsid w:val="00752CFB"/>
    <w:rsid w:val="0075393E"/>
    <w:rsid w:val="00754CD7"/>
    <w:rsid w:val="00754D70"/>
    <w:rsid w:val="00756192"/>
    <w:rsid w:val="00757CB6"/>
    <w:rsid w:val="0076702A"/>
    <w:rsid w:val="00771AD5"/>
    <w:rsid w:val="00773300"/>
    <w:rsid w:val="0077600B"/>
    <w:rsid w:val="0077609F"/>
    <w:rsid w:val="00777CD7"/>
    <w:rsid w:val="0078439E"/>
    <w:rsid w:val="00787E57"/>
    <w:rsid w:val="007901FD"/>
    <w:rsid w:val="00797CEB"/>
    <w:rsid w:val="007A7033"/>
    <w:rsid w:val="007B3E99"/>
    <w:rsid w:val="007B7994"/>
    <w:rsid w:val="007C37D5"/>
    <w:rsid w:val="007C4D62"/>
    <w:rsid w:val="007C62A5"/>
    <w:rsid w:val="007D077B"/>
    <w:rsid w:val="007D08DA"/>
    <w:rsid w:val="007D3BA1"/>
    <w:rsid w:val="007D58FE"/>
    <w:rsid w:val="007D5BAA"/>
    <w:rsid w:val="007D737B"/>
    <w:rsid w:val="007E10F8"/>
    <w:rsid w:val="007E6B05"/>
    <w:rsid w:val="007F6EE3"/>
    <w:rsid w:val="0080076A"/>
    <w:rsid w:val="00807268"/>
    <w:rsid w:val="008072E4"/>
    <w:rsid w:val="00812485"/>
    <w:rsid w:val="00813FA6"/>
    <w:rsid w:val="0081494F"/>
    <w:rsid w:val="0082110D"/>
    <w:rsid w:val="00822C1A"/>
    <w:rsid w:val="00823931"/>
    <w:rsid w:val="008251A3"/>
    <w:rsid w:val="008272FC"/>
    <w:rsid w:val="00831D1C"/>
    <w:rsid w:val="00832172"/>
    <w:rsid w:val="00835302"/>
    <w:rsid w:val="0083587D"/>
    <w:rsid w:val="00844402"/>
    <w:rsid w:val="0084634B"/>
    <w:rsid w:val="00846FA4"/>
    <w:rsid w:val="008476D9"/>
    <w:rsid w:val="00852418"/>
    <w:rsid w:val="00862A9E"/>
    <w:rsid w:val="00864205"/>
    <w:rsid w:val="008718DB"/>
    <w:rsid w:val="0087608F"/>
    <w:rsid w:val="00876B66"/>
    <w:rsid w:val="00881C4A"/>
    <w:rsid w:val="00883889"/>
    <w:rsid w:val="00884FD4"/>
    <w:rsid w:val="00885A71"/>
    <w:rsid w:val="00891406"/>
    <w:rsid w:val="008918C6"/>
    <w:rsid w:val="008952E7"/>
    <w:rsid w:val="00896FAE"/>
    <w:rsid w:val="008A1687"/>
    <w:rsid w:val="008A2DE3"/>
    <w:rsid w:val="008A50A0"/>
    <w:rsid w:val="008B572C"/>
    <w:rsid w:val="008B6F69"/>
    <w:rsid w:val="008B7424"/>
    <w:rsid w:val="008C61D3"/>
    <w:rsid w:val="008D3267"/>
    <w:rsid w:val="008D3F53"/>
    <w:rsid w:val="008D481B"/>
    <w:rsid w:val="008D574A"/>
    <w:rsid w:val="008D6758"/>
    <w:rsid w:val="008E2E90"/>
    <w:rsid w:val="008E3B2E"/>
    <w:rsid w:val="008E3D9E"/>
    <w:rsid w:val="008E5298"/>
    <w:rsid w:val="008E742E"/>
    <w:rsid w:val="008F03EC"/>
    <w:rsid w:val="008F26C7"/>
    <w:rsid w:val="008F3585"/>
    <w:rsid w:val="008F7005"/>
    <w:rsid w:val="0090717D"/>
    <w:rsid w:val="009112D8"/>
    <w:rsid w:val="00914660"/>
    <w:rsid w:val="00914796"/>
    <w:rsid w:val="00916099"/>
    <w:rsid w:val="00921181"/>
    <w:rsid w:val="00923C33"/>
    <w:rsid w:val="00924A38"/>
    <w:rsid w:val="009265F4"/>
    <w:rsid w:val="00926CA7"/>
    <w:rsid w:val="00935325"/>
    <w:rsid w:val="00936A6D"/>
    <w:rsid w:val="00937B70"/>
    <w:rsid w:val="00942E30"/>
    <w:rsid w:val="00947A1B"/>
    <w:rsid w:val="00950A6B"/>
    <w:rsid w:val="0095228E"/>
    <w:rsid w:val="009522B3"/>
    <w:rsid w:val="00955F44"/>
    <w:rsid w:val="00962371"/>
    <w:rsid w:val="009662A9"/>
    <w:rsid w:val="00966B19"/>
    <w:rsid w:val="00966FA3"/>
    <w:rsid w:val="009709A8"/>
    <w:rsid w:val="009711AD"/>
    <w:rsid w:val="00985055"/>
    <w:rsid w:val="009921F0"/>
    <w:rsid w:val="00993F0C"/>
    <w:rsid w:val="00995DDF"/>
    <w:rsid w:val="0099640C"/>
    <w:rsid w:val="009A1186"/>
    <w:rsid w:val="009A16D5"/>
    <w:rsid w:val="009A1CFA"/>
    <w:rsid w:val="009A441F"/>
    <w:rsid w:val="009A5EC7"/>
    <w:rsid w:val="009A731E"/>
    <w:rsid w:val="009B04E6"/>
    <w:rsid w:val="009B2558"/>
    <w:rsid w:val="009B2696"/>
    <w:rsid w:val="009B46F5"/>
    <w:rsid w:val="009B48E5"/>
    <w:rsid w:val="009B4A70"/>
    <w:rsid w:val="009B69BB"/>
    <w:rsid w:val="009C0E1D"/>
    <w:rsid w:val="009C112C"/>
    <w:rsid w:val="009C2AFA"/>
    <w:rsid w:val="009C3CA9"/>
    <w:rsid w:val="009C4171"/>
    <w:rsid w:val="009C543F"/>
    <w:rsid w:val="009C79B4"/>
    <w:rsid w:val="009D186E"/>
    <w:rsid w:val="009D2429"/>
    <w:rsid w:val="009D42F6"/>
    <w:rsid w:val="009E3BB6"/>
    <w:rsid w:val="009E6D2E"/>
    <w:rsid w:val="009F1267"/>
    <w:rsid w:val="00A0107C"/>
    <w:rsid w:val="00A031C8"/>
    <w:rsid w:val="00A04BC1"/>
    <w:rsid w:val="00A05260"/>
    <w:rsid w:val="00A05757"/>
    <w:rsid w:val="00A06DEB"/>
    <w:rsid w:val="00A1051B"/>
    <w:rsid w:val="00A10B3D"/>
    <w:rsid w:val="00A11F72"/>
    <w:rsid w:val="00A1251E"/>
    <w:rsid w:val="00A14FBE"/>
    <w:rsid w:val="00A16C8E"/>
    <w:rsid w:val="00A16D67"/>
    <w:rsid w:val="00A16EFD"/>
    <w:rsid w:val="00A16F45"/>
    <w:rsid w:val="00A20901"/>
    <w:rsid w:val="00A21E0F"/>
    <w:rsid w:val="00A256CE"/>
    <w:rsid w:val="00A27695"/>
    <w:rsid w:val="00A27C51"/>
    <w:rsid w:val="00A44187"/>
    <w:rsid w:val="00A44235"/>
    <w:rsid w:val="00A45C09"/>
    <w:rsid w:val="00A53876"/>
    <w:rsid w:val="00A53C86"/>
    <w:rsid w:val="00A56152"/>
    <w:rsid w:val="00A56339"/>
    <w:rsid w:val="00A61B8F"/>
    <w:rsid w:val="00A61BDB"/>
    <w:rsid w:val="00A62027"/>
    <w:rsid w:val="00A64478"/>
    <w:rsid w:val="00A65E31"/>
    <w:rsid w:val="00A664B4"/>
    <w:rsid w:val="00A66834"/>
    <w:rsid w:val="00A6708B"/>
    <w:rsid w:val="00A67D47"/>
    <w:rsid w:val="00A71D5D"/>
    <w:rsid w:val="00A72466"/>
    <w:rsid w:val="00A73D0F"/>
    <w:rsid w:val="00A752BD"/>
    <w:rsid w:val="00A81E09"/>
    <w:rsid w:val="00A831DD"/>
    <w:rsid w:val="00A847B3"/>
    <w:rsid w:val="00A8657F"/>
    <w:rsid w:val="00A9325C"/>
    <w:rsid w:val="00AA7283"/>
    <w:rsid w:val="00AA7A3F"/>
    <w:rsid w:val="00AB131F"/>
    <w:rsid w:val="00AB23F0"/>
    <w:rsid w:val="00AB467E"/>
    <w:rsid w:val="00AB7B1D"/>
    <w:rsid w:val="00AC6F0A"/>
    <w:rsid w:val="00AC7F18"/>
    <w:rsid w:val="00AD2E7A"/>
    <w:rsid w:val="00AD6D1E"/>
    <w:rsid w:val="00AD795C"/>
    <w:rsid w:val="00AE1388"/>
    <w:rsid w:val="00AE14A1"/>
    <w:rsid w:val="00AE1E43"/>
    <w:rsid w:val="00AE3832"/>
    <w:rsid w:val="00AE5BDA"/>
    <w:rsid w:val="00AF144D"/>
    <w:rsid w:val="00AF2F25"/>
    <w:rsid w:val="00AF3EFF"/>
    <w:rsid w:val="00AF48B5"/>
    <w:rsid w:val="00AF76F4"/>
    <w:rsid w:val="00B02A3C"/>
    <w:rsid w:val="00B05A6D"/>
    <w:rsid w:val="00B05AA1"/>
    <w:rsid w:val="00B07739"/>
    <w:rsid w:val="00B10083"/>
    <w:rsid w:val="00B106BA"/>
    <w:rsid w:val="00B10CA6"/>
    <w:rsid w:val="00B130DA"/>
    <w:rsid w:val="00B13B89"/>
    <w:rsid w:val="00B14894"/>
    <w:rsid w:val="00B226F8"/>
    <w:rsid w:val="00B27378"/>
    <w:rsid w:val="00B278A1"/>
    <w:rsid w:val="00B30649"/>
    <w:rsid w:val="00B32434"/>
    <w:rsid w:val="00B339A2"/>
    <w:rsid w:val="00B34549"/>
    <w:rsid w:val="00B362C4"/>
    <w:rsid w:val="00B37A4C"/>
    <w:rsid w:val="00B410D2"/>
    <w:rsid w:val="00B4208E"/>
    <w:rsid w:val="00B43354"/>
    <w:rsid w:val="00B4793E"/>
    <w:rsid w:val="00B47B96"/>
    <w:rsid w:val="00B63B7A"/>
    <w:rsid w:val="00B651DA"/>
    <w:rsid w:val="00B65F94"/>
    <w:rsid w:val="00B71B53"/>
    <w:rsid w:val="00B81384"/>
    <w:rsid w:val="00B81A00"/>
    <w:rsid w:val="00B85895"/>
    <w:rsid w:val="00B871D4"/>
    <w:rsid w:val="00B96025"/>
    <w:rsid w:val="00B97C0D"/>
    <w:rsid w:val="00B97C44"/>
    <w:rsid w:val="00BA1EB9"/>
    <w:rsid w:val="00BA31E2"/>
    <w:rsid w:val="00BA479E"/>
    <w:rsid w:val="00BB015C"/>
    <w:rsid w:val="00BB3470"/>
    <w:rsid w:val="00BC074C"/>
    <w:rsid w:val="00BC53AD"/>
    <w:rsid w:val="00BC56BA"/>
    <w:rsid w:val="00BC6403"/>
    <w:rsid w:val="00BD1164"/>
    <w:rsid w:val="00BD6F39"/>
    <w:rsid w:val="00BD71A9"/>
    <w:rsid w:val="00BE214F"/>
    <w:rsid w:val="00BE52A4"/>
    <w:rsid w:val="00BE5F5F"/>
    <w:rsid w:val="00BE60E4"/>
    <w:rsid w:val="00BE67FC"/>
    <w:rsid w:val="00BF10CF"/>
    <w:rsid w:val="00BF29C4"/>
    <w:rsid w:val="00C00D4F"/>
    <w:rsid w:val="00C058C2"/>
    <w:rsid w:val="00C07D79"/>
    <w:rsid w:val="00C11F01"/>
    <w:rsid w:val="00C1329E"/>
    <w:rsid w:val="00C14BDA"/>
    <w:rsid w:val="00C17C96"/>
    <w:rsid w:val="00C21926"/>
    <w:rsid w:val="00C25077"/>
    <w:rsid w:val="00C25994"/>
    <w:rsid w:val="00C25BE7"/>
    <w:rsid w:val="00C25F21"/>
    <w:rsid w:val="00C27A72"/>
    <w:rsid w:val="00C32C98"/>
    <w:rsid w:val="00C340E9"/>
    <w:rsid w:val="00C348E3"/>
    <w:rsid w:val="00C52E82"/>
    <w:rsid w:val="00C5497D"/>
    <w:rsid w:val="00C54CC8"/>
    <w:rsid w:val="00C55677"/>
    <w:rsid w:val="00C56877"/>
    <w:rsid w:val="00C57685"/>
    <w:rsid w:val="00C61097"/>
    <w:rsid w:val="00C64497"/>
    <w:rsid w:val="00C672EC"/>
    <w:rsid w:val="00C712AA"/>
    <w:rsid w:val="00C729C8"/>
    <w:rsid w:val="00C7600C"/>
    <w:rsid w:val="00C7651E"/>
    <w:rsid w:val="00C80C84"/>
    <w:rsid w:val="00C81F9A"/>
    <w:rsid w:val="00C82050"/>
    <w:rsid w:val="00C90A98"/>
    <w:rsid w:val="00C920A1"/>
    <w:rsid w:val="00C93B97"/>
    <w:rsid w:val="00C9507F"/>
    <w:rsid w:val="00C96205"/>
    <w:rsid w:val="00CA3197"/>
    <w:rsid w:val="00CA538F"/>
    <w:rsid w:val="00CA74AD"/>
    <w:rsid w:val="00CB0330"/>
    <w:rsid w:val="00CB075C"/>
    <w:rsid w:val="00CB1426"/>
    <w:rsid w:val="00CB1573"/>
    <w:rsid w:val="00CB5404"/>
    <w:rsid w:val="00CB633C"/>
    <w:rsid w:val="00CB76C5"/>
    <w:rsid w:val="00CC1CAE"/>
    <w:rsid w:val="00CC3822"/>
    <w:rsid w:val="00CC3F2D"/>
    <w:rsid w:val="00CC45C0"/>
    <w:rsid w:val="00CD2E06"/>
    <w:rsid w:val="00CD3676"/>
    <w:rsid w:val="00CD3903"/>
    <w:rsid w:val="00CD3A61"/>
    <w:rsid w:val="00CD4F1D"/>
    <w:rsid w:val="00CD66D6"/>
    <w:rsid w:val="00CD73E6"/>
    <w:rsid w:val="00CE51F6"/>
    <w:rsid w:val="00CF2D61"/>
    <w:rsid w:val="00CF54D8"/>
    <w:rsid w:val="00D00B3A"/>
    <w:rsid w:val="00D00E88"/>
    <w:rsid w:val="00D02668"/>
    <w:rsid w:val="00D06138"/>
    <w:rsid w:val="00D066AE"/>
    <w:rsid w:val="00D10CE3"/>
    <w:rsid w:val="00D12D6C"/>
    <w:rsid w:val="00D159E9"/>
    <w:rsid w:val="00D16B1C"/>
    <w:rsid w:val="00D16FA7"/>
    <w:rsid w:val="00D23C37"/>
    <w:rsid w:val="00D27D3A"/>
    <w:rsid w:val="00D360E2"/>
    <w:rsid w:val="00D41080"/>
    <w:rsid w:val="00D44F6E"/>
    <w:rsid w:val="00D515BF"/>
    <w:rsid w:val="00D53749"/>
    <w:rsid w:val="00D562AC"/>
    <w:rsid w:val="00D57747"/>
    <w:rsid w:val="00D63B63"/>
    <w:rsid w:val="00D72C65"/>
    <w:rsid w:val="00D750B0"/>
    <w:rsid w:val="00D77543"/>
    <w:rsid w:val="00D808B7"/>
    <w:rsid w:val="00D8094F"/>
    <w:rsid w:val="00D81615"/>
    <w:rsid w:val="00D825A1"/>
    <w:rsid w:val="00D8460B"/>
    <w:rsid w:val="00D84910"/>
    <w:rsid w:val="00D869AC"/>
    <w:rsid w:val="00D86F8C"/>
    <w:rsid w:val="00D925FE"/>
    <w:rsid w:val="00D93C15"/>
    <w:rsid w:val="00DA0BCB"/>
    <w:rsid w:val="00DA170E"/>
    <w:rsid w:val="00DA43AF"/>
    <w:rsid w:val="00DB24CE"/>
    <w:rsid w:val="00DB2CAC"/>
    <w:rsid w:val="00DB382F"/>
    <w:rsid w:val="00DC0C26"/>
    <w:rsid w:val="00DC3406"/>
    <w:rsid w:val="00DC6C9A"/>
    <w:rsid w:val="00DD0185"/>
    <w:rsid w:val="00DD608E"/>
    <w:rsid w:val="00DD62A0"/>
    <w:rsid w:val="00DE569D"/>
    <w:rsid w:val="00DE7997"/>
    <w:rsid w:val="00DE7BB3"/>
    <w:rsid w:val="00DF0DDF"/>
    <w:rsid w:val="00DF316B"/>
    <w:rsid w:val="00DF4549"/>
    <w:rsid w:val="00DF49DE"/>
    <w:rsid w:val="00DF66C1"/>
    <w:rsid w:val="00E01B5D"/>
    <w:rsid w:val="00E070E4"/>
    <w:rsid w:val="00E10369"/>
    <w:rsid w:val="00E1287D"/>
    <w:rsid w:val="00E137F1"/>
    <w:rsid w:val="00E15E86"/>
    <w:rsid w:val="00E1660E"/>
    <w:rsid w:val="00E16F26"/>
    <w:rsid w:val="00E247FF"/>
    <w:rsid w:val="00E30750"/>
    <w:rsid w:val="00E343F2"/>
    <w:rsid w:val="00E34409"/>
    <w:rsid w:val="00E34F35"/>
    <w:rsid w:val="00E35898"/>
    <w:rsid w:val="00E35BEE"/>
    <w:rsid w:val="00E417D9"/>
    <w:rsid w:val="00E42AC8"/>
    <w:rsid w:val="00E44C3F"/>
    <w:rsid w:val="00E456BF"/>
    <w:rsid w:val="00E465F1"/>
    <w:rsid w:val="00E50ACC"/>
    <w:rsid w:val="00E56371"/>
    <w:rsid w:val="00E5708A"/>
    <w:rsid w:val="00E57D16"/>
    <w:rsid w:val="00E629DF"/>
    <w:rsid w:val="00E63AD6"/>
    <w:rsid w:val="00E6788B"/>
    <w:rsid w:val="00E67BB8"/>
    <w:rsid w:val="00E67C4A"/>
    <w:rsid w:val="00E70415"/>
    <w:rsid w:val="00E7657E"/>
    <w:rsid w:val="00E81EFE"/>
    <w:rsid w:val="00E84FB5"/>
    <w:rsid w:val="00E86B08"/>
    <w:rsid w:val="00E912A5"/>
    <w:rsid w:val="00E962F0"/>
    <w:rsid w:val="00E96B03"/>
    <w:rsid w:val="00E97D5B"/>
    <w:rsid w:val="00EA5841"/>
    <w:rsid w:val="00EA67F9"/>
    <w:rsid w:val="00EA6A37"/>
    <w:rsid w:val="00EA71E4"/>
    <w:rsid w:val="00EB2604"/>
    <w:rsid w:val="00EB3AE5"/>
    <w:rsid w:val="00EB5A23"/>
    <w:rsid w:val="00EB7E09"/>
    <w:rsid w:val="00EC1B23"/>
    <w:rsid w:val="00EC6150"/>
    <w:rsid w:val="00EC73E4"/>
    <w:rsid w:val="00EE1058"/>
    <w:rsid w:val="00EE2C8F"/>
    <w:rsid w:val="00EE5680"/>
    <w:rsid w:val="00EE5F1F"/>
    <w:rsid w:val="00EE6E2F"/>
    <w:rsid w:val="00EE7CE9"/>
    <w:rsid w:val="00EF42CF"/>
    <w:rsid w:val="00EF590B"/>
    <w:rsid w:val="00F009BF"/>
    <w:rsid w:val="00F03488"/>
    <w:rsid w:val="00F056A6"/>
    <w:rsid w:val="00F10681"/>
    <w:rsid w:val="00F10A0B"/>
    <w:rsid w:val="00F1127D"/>
    <w:rsid w:val="00F151D0"/>
    <w:rsid w:val="00F230D8"/>
    <w:rsid w:val="00F269AE"/>
    <w:rsid w:val="00F27D19"/>
    <w:rsid w:val="00F318EF"/>
    <w:rsid w:val="00F33AFE"/>
    <w:rsid w:val="00F35CB0"/>
    <w:rsid w:val="00F36E29"/>
    <w:rsid w:val="00F4270A"/>
    <w:rsid w:val="00F4446C"/>
    <w:rsid w:val="00F52D2F"/>
    <w:rsid w:val="00F53361"/>
    <w:rsid w:val="00F541CB"/>
    <w:rsid w:val="00F55F90"/>
    <w:rsid w:val="00F64084"/>
    <w:rsid w:val="00F67349"/>
    <w:rsid w:val="00F677A3"/>
    <w:rsid w:val="00F67908"/>
    <w:rsid w:val="00F76CCC"/>
    <w:rsid w:val="00F7735D"/>
    <w:rsid w:val="00F8018E"/>
    <w:rsid w:val="00F808ED"/>
    <w:rsid w:val="00F837D1"/>
    <w:rsid w:val="00F86AC3"/>
    <w:rsid w:val="00F91F86"/>
    <w:rsid w:val="00FA5274"/>
    <w:rsid w:val="00FB0B3E"/>
    <w:rsid w:val="00FB428F"/>
    <w:rsid w:val="00FB585D"/>
    <w:rsid w:val="00FC166C"/>
    <w:rsid w:val="00FC3FF2"/>
    <w:rsid w:val="00FC67C1"/>
    <w:rsid w:val="00FD00D9"/>
    <w:rsid w:val="00FD3D59"/>
    <w:rsid w:val="00FD73FE"/>
    <w:rsid w:val="00FE2291"/>
    <w:rsid w:val="00FE5D4F"/>
    <w:rsid w:val="00FF1775"/>
    <w:rsid w:val="00FF6597"/>
    <w:rsid w:val="00FF6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FEB24"/>
  <w15:chartTrackingRefBased/>
  <w15:docId w15:val="{71D9B8DF-D20C-4533-AB7C-849ECAE0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1F72"/>
    <w:pPr>
      <w:overflowPunct w:val="0"/>
      <w:autoSpaceDE w:val="0"/>
      <w:autoSpaceDN w:val="0"/>
      <w:adjustRightInd w:val="0"/>
      <w:spacing w:before="240" w:after="120" w:line="360" w:lineRule="auto"/>
      <w:textAlignment w:val="baseline"/>
    </w:pPr>
    <w:rPr>
      <w:rFonts w:ascii="Times New Roman" w:eastAsiaTheme="minorEastAsia" w:hAnsi="Times New Roman" w:cs="Times New Roman"/>
      <w:noProof/>
      <w:kern w:val="0"/>
      <w:sz w:val="24"/>
      <w:szCs w:val="20"/>
      <w:lang w:val="en-US" w:eastAsia="ja-JP"/>
    </w:rPr>
  </w:style>
  <w:style w:type="paragraph" w:styleId="berschrift1">
    <w:name w:val="heading 1"/>
    <w:basedOn w:val="Standard"/>
    <w:next w:val="Standard"/>
    <w:link w:val="berschrift1Zchn"/>
    <w:uiPriority w:val="9"/>
    <w:qFormat/>
    <w:rsid w:val="00A11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11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11F7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11F7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11F7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11F7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11F7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11F7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11F7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11F7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1F7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1F7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1F7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1F7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1F7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1F7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1F7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1F72"/>
    <w:rPr>
      <w:rFonts w:eastAsiaTheme="majorEastAsia" w:cstheme="majorBidi"/>
      <w:color w:val="272727" w:themeColor="text1" w:themeTint="D8"/>
    </w:rPr>
  </w:style>
  <w:style w:type="paragraph" w:styleId="Titel">
    <w:name w:val="Title"/>
    <w:basedOn w:val="Standard"/>
    <w:next w:val="Standard"/>
    <w:link w:val="TitelZchn"/>
    <w:uiPriority w:val="10"/>
    <w:qFormat/>
    <w:rsid w:val="00A11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1F7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11F7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11F7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11F7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11F72"/>
    <w:rPr>
      <w:i/>
      <w:iCs/>
      <w:color w:val="404040" w:themeColor="text1" w:themeTint="BF"/>
    </w:rPr>
  </w:style>
  <w:style w:type="paragraph" w:styleId="Listenabsatz">
    <w:name w:val="List Paragraph"/>
    <w:basedOn w:val="Standard"/>
    <w:uiPriority w:val="34"/>
    <w:qFormat/>
    <w:rsid w:val="00A11F72"/>
    <w:pPr>
      <w:ind w:left="720"/>
      <w:contextualSpacing/>
    </w:pPr>
  </w:style>
  <w:style w:type="character" w:styleId="IntensiveHervorhebung">
    <w:name w:val="Intense Emphasis"/>
    <w:basedOn w:val="Absatz-Standardschriftart"/>
    <w:uiPriority w:val="21"/>
    <w:qFormat/>
    <w:rsid w:val="00A11F72"/>
    <w:rPr>
      <w:i/>
      <w:iCs/>
      <w:color w:val="0F4761" w:themeColor="accent1" w:themeShade="BF"/>
    </w:rPr>
  </w:style>
  <w:style w:type="paragraph" w:styleId="IntensivesZitat">
    <w:name w:val="Intense Quote"/>
    <w:basedOn w:val="Standard"/>
    <w:next w:val="Standard"/>
    <w:link w:val="IntensivesZitatZchn"/>
    <w:uiPriority w:val="30"/>
    <w:qFormat/>
    <w:rsid w:val="00A11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11F72"/>
    <w:rPr>
      <w:i/>
      <w:iCs/>
      <w:color w:val="0F4761" w:themeColor="accent1" w:themeShade="BF"/>
    </w:rPr>
  </w:style>
  <w:style w:type="character" w:styleId="IntensiverVerweis">
    <w:name w:val="Intense Reference"/>
    <w:basedOn w:val="Absatz-Standardschriftart"/>
    <w:uiPriority w:val="32"/>
    <w:qFormat/>
    <w:rsid w:val="00A11F72"/>
    <w:rPr>
      <w:b/>
      <w:bCs/>
      <w:smallCaps/>
      <w:color w:val="0F4761" w:themeColor="accent1" w:themeShade="BF"/>
      <w:spacing w:val="5"/>
    </w:rPr>
  </w:style>
  <w:style w:type="paragraph" w:customStyle="1" w:styleId="P">
    <w:name w:val="P"/>
    <w:basedOn w:val="Standard"/>
    <w:rsid w:val="00A11F72"/>
    <w:pPr>
      <w:widowControl w:val="0"/>
      <w:overflowPunct/>
      <w:autoSpaceDE/>
      <w:autoSpaceDN/>
      <w:adjustRightInd/>
      <w:spacing w:before="0" w:after="0" w:line="240" w:lineRule="auto"/>
      <w:jc w:val="both"/>
      <w:textAlignment w:val="auto"/>
    </w:pPr>
    <w:rPr>
      <w:rFonts w:eastAsia="MS Mincho"/>
      <w:noProof w:val="0"/>
      <w:kern w:val="2"/>
      <w:szCs w:val="24"/>
    </w:rPr>
  </w:style>
  <w:style w:type="paragraph" w:customStyle="1" w:styleId="KWD">
    <w:name w:val="KWD"/>
    <w:basedOn w:val="Standard"/>
    <w:rsid w:val="00A11F72"/>
    <w:pPr>
      <w:widowControl w:val="0"/>
      <w:overflowPunct/>
      <w:autoSpaceDE/>
      <w:autoSpaceDN/>
      <w:adjustRightInd/>
      <w:spacing w:before="0" w:after="0" w:line="240" w:lineRule="auto"/>
      <w:textAlignment w:val="auto"/>
    </w:pPr>
    <w:rPr>
      <w:rFonts w:eastAsia="MS Mincho"/>
      <w:noProof w:val="0"/>
      <w:kern w:val="2"/>
      <w:szCs w:val="24"/>
    </w:rPr>
  </w:style>
  <w:style w:type="paragraph" w:customStyle="1" w:styleId="Authors">
    <w:name w:val="Authors"/>
    <w:basedOn w:val="Standard"/>
    <w:rsid w:val="00A11F72"/>
    <w:pPr>
      <w:widowControl w:val="0"/>
      <w:overflowPunct/>
      <w:autoSpaceDE/>
      <w:autoSpaceDN/>
      <w:adjustRightInd/>
      <w:spacing w:before="0" w:after="0" w:line="240" w:lineRule="auto"/>
      <w:jc w:val="both"/>
      <w:textAlignment w:val="auto"/>
    </w:pPr>
    <w:rPr>
      <w:rFonts w:ascii="Century" w:eastAsia="MS Mincho" w:hAnsi="Century"/>
      <w:noProof w:val="0"/>
      <w:kern w:val="2"/>
      <w:szCs w:val="24"/>
    </w:rPr>
  </w:style>
  <w:style w:type="paragraph" w:customStyle="1" w:styleId="Figure">
    <w:name w:val="Figure"/>
    <w:basedOn w:val="Standard"/>
    <w:rsid w:val="00A11F72"/>
    <w:pPr>
      <w:widowControl w:val="0"/>
      <w:overflowPunct/>
      <w:autoSpaceDE/>
      <w:autoSpaceDN/>
      <w:adjustRightInd/>
      <w:spacing w:before="0" w:after="0" w:line="240" w:lineRule="auto"/>
      <w:textAlignment w:val="auto"/>
    </w:pPr>
    <w:rPr>
      <w:rFonts w:eastAsia="MS Mincho"/>
      <w:noProof w:val="0"/>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2916</Characters>
  <Application>Microsoft Office Word</Application>
  <DocSecurity>0</DocSecurity>
  <Lines>74</Lines>
  <Paragraphs>30</Paragraphs>
  <ScaleCrop>false</ScaleCrop>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Thieme SOS Editorial</dc:creator>
  <cp:keywords/>
  <dc:description/>
  <cp:lastModifiedBy>Qaud-Taher, Jasmin</cp:lastModifiedBy>
  <cp:revision>1</cp:revision>
  <dcterms:created xsi:type="dcterms:W3CDTF">2026-09-24T08:03:00Z</dcterms:created>
  <dcterms:modified xsi:type="dcterms:W3CDTF">2026-09-24T08:17:00Z</dcterms:modified>
</cp:coreProperties>
</file>